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ПАМЯТКА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ПО ВЫЯВЛЕНИЮ СИТУАЦИЙ КОНФЛИКТА ИНТЕРЕСОВ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Настоящая памятка содержит рекомендации, направленные на выявление личной заинтересованности, которая приводит или может привести к конфликту интересов, при реализации полномочий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органов публичной власти и организаций.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ОСНОВНЫЕ ПОНЯТИЯ, СВЯЗАННЫЕ С КОНФЛИКТОМ ИНТЕРЕСОВ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  <w:u w:val="single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  <w:u w:val="single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  <w:u w:val="singl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соответствии со статьи 10 Федерального закона от 25.12.2008                     № 273-ФЗ «О противодействии коррупции» (далее – «Федеральный закон              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       № 273-ФЗ»):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  <w:highlight w:val="white"/>
        </w:rPr>
        <w:t xml:space="preserve">онфликт интересов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– это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  <w:highlight w:val="white"/>
        </w:rPr>
        <w:t xml:space="preserve">ситуация,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Л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  <w:highlight w:val="white"/>
        </w:rPr>
        <w:t xml:space="preserve">ичная заинтересованность –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это возможность получения доходов                   в виде денег, иного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рами, а также братьями, сестрами, родителями, детьми супругов и супругами детей), гражданами или организациями, с которыми лицо, и (или) лица, состоящие          с ним в близком родстве или свойстве, связаны имущественными, корпоративными или иными близким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и отношениями.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Личная заинтересованность может быть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прямая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либо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косвенная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рямая заинтересованность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– это возможность извлечь выгоду напрямую из выполнения должностных обязанностей.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Косвенная заинтересованность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– это не 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чевидная, а опосредованная возможность извлечь выгоду, например, через оказание в рамках своих служебных (должностных) обязанностей преимуществ одному лицу                       с последующим получением выгоды от данного лица.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Исходя из смысла данных поня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тий, следует, что конфликт интересов возникает, когда личные интересы служащего/работника мешают ему объективно выполнять свои обязанности» что может привести к принятию субъективных решений, способных нанести ущерб интересам отдельных лиц, общества или 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сударства.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Личная заинтересованность не является прямым нарушением законодательства или ущемлением публичного интереса, однако она может оказывать влияние на объективность и беспристрастность выполнения служебных (должностных) обязанностей.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Конфликт интер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есов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условно можно разделить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на следующие виды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: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реальный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– состоявшийся факт исполнения должностных обязанностей в условиях наличия личной заинтересованности, что может повлиять на объективность принимаемых решений;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возможный/потенциальный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– ситуация,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которой личная заинтересованность служащего/работника не является достаточной для возникновения конфликта интересов в текущий момент, но </w:t>
      </w:r>
      <w:r>
        <w:rPr>
          <w:rFonts w:ascii="PT Astra Serif" w:hAnsi="PT Astra Serif" w:eastAsia="Calibri" w:cs="Times New Roman"/>
          <w:color w:val="000000" w:themeColor="text1"/>
          <w:sz w:val="28"/>
          <w:szCs w:val="28"/>
        </w:rPr>
        <w:t xml:space="preserve">потенциально может привести к возникновению ситуации конфликта интересов;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мнимый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– ситуация, в которой наличие у служащ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его/работника личного интереса может быть воспринято другими лицами способ воздействия на выполнение им своих обязанностей, даже если фактически такое нежелательное влияние отсутствует или не может иметь место.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Для квалификации ситуации в качестве конфликт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 интересов в целях противодействия коррупции необходимо достоверно установить одновременное наличие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следующих признаков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909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Cs/>
          <w:iCs/>
          <w:color w:val="000000" w:themeColor="text1"/>
          <w:sz w:val="28"/>
          <w:szCs w:val="28"/>
        </w:rPr>
        <w:t xml:space="preserve">личную заинтересованность</w:t>
      </w:r>
      <w:r>
        <w:rPr>
          <w:rFonts w:ascii="PT Astra Serif" w:hAnsi="PT Astra Serif" w:eastAsia="Calibri" w:cs="Times New Roman"/>
          <w:color w:val="000000" w:themeColor="text1"/>
          <w:sz w:val="28"/>
          <w:szCs w:val="28"/>
        </w:rPr>
        <w:t xml:space="preserve"> (</w:t>
      </w:r>
      <w:r>
        <w:rPr>
          <w:rFonts w:ascii="PT Astra Serif" w:hAnsi="PT Astra Serif" w:eastAsia="PT Astra Serif" w:cs="PT Astra Serif"/>
          <w:bCs/>
          <w:iCs/>
          <w:color w:val="000000" w:themeColor="text1"/>
          <w:sz w:val="28"/>
          <w:szCs w:val="28"/>
        </w:rPr>
        <w:t xml:space="preserve">возможность получения доходов или выгод должностным лицом или связанными с ним лицами);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909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Cs/>
          <w:iCs/>
          <w:color w:val="000000" w:themeColor="text1"/>
          <w:sz w:val="28"/>
          <w:szCs w:val="28"/>
        </w:rPr>
        <w:t xml:space="preserve">фактическое наличие у должностного лица полномочий для реализации личной заинтересованности;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</w:r>
    </w:p>
    <w:p>
      <w:pPr>
        <w:pStyle w:val="909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Cs/>
          <w:iCs/>
          <w:color w:val="000000" w:themeColor="text1"/>
          <w:sz w:val="28"/>
          <w:szCs w:val="28"/>
        </w:rPr>
        <w:t xml:space="preserve">связь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</w:t>
      </w:r>
      <w:r>
        <w:rPr>
          <w:rFonts w:ascii="PT Astra Serif" w:hAnsi="PT Astra Serif" w:eastAsia="PT Astra Serif" w:cs="PT Astra Serif"/>
          <w:bCs/>
          <w:iCs/>
          <w:color w:val="000000" w:themeColor="text1"/>
          <w:sz w:val="28"/>
          <w:szCs w:val="28"/>
        </w:rPr>
        <w:t xml:space="preserve"> (возможной реализацией) должностным лицом своих полномочий (принятие конкретных решений или наоборот  бездействие в тех ситуациях, когда должен принять решение).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Только совокупность всех указанных признаков свидетельствует о наличии конфликта интересов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конкретной ситуации.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Частью 2 статьи 10 Федерального закона № 273-ФЗ определены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субъекты – выгодоприобретатели, с которыми может быть связан конфликт интересов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 К ним относятся: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−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лица, состоящие с должностным лицом в близком родстве или свойстве: родители, супруги, дети, братья, сестры, а также братья, сестры, родители, дети супругов и супруги детей (далее – «родственники»),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−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гражданин или организации, с которыми должностное лицо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или его родственники состоят в близком родстве или свойстве, связаны имущественными, корпоративными или иными близкими отношениями.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Близкие отношения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– отношения, позволяющие полагать о наличии заинтересованности и зависимости между участниками. Признакам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 иных близких отношений могут являться: совместное проживание на одной жилплощади; регистрация по одному адресу; ведение общего хозяйства;  наличие общих детей, рождённых вне брака; участие в расходах другого лица; оплата долгов, отдыха, лечения, развлече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ний другого лица; регулярное проведение досуга вместе; дарение ценного имущества, участие в крупных расходах третьих лиц, и другие обстоятельства, которые указывают на то, что жизнь, здоровье и благополучие близкого человека дороги соответствующему должнос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тному лицу в силу сложившихся обстоятельств.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 бывших супругов нет близкого родства или свойства. Однако их могут связывать имущественные или иные близкие отношения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перечень аффилированных лиц, связанных со сл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ужащим/работником также могут входить: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лица, с которыми служащий/работник и (или) его родственники, связаны имущественными, корпоративными или иными близкими отношениями;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лица, с которыми служащий и (или) его родственники существуют финансовые обязател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ьства, а также лица, имеющие перед служащим/работником и (или) его родственниками финансовые обязательства;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организации, где служащий/работник работал до того, как поступил на гражданскую  службу;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организации, где работают родственники служащего/работн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ика, а также кто имеет с ним или его родственниками имущественные и корпоративные отношения;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лица и организации, от которых служащий/работник и (или) его родственники получали или получают доходы различного характера (арендная плата, плата по договорам к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упли-продажи, оказание услуг, выполнение работ и другие);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организации, ценными бумагами (долями, паями, и т.п.) которых владеет служащий/работник или его родственники, либо связанные со служащим/работником и (или) его родственниками иными корпоративными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отношениями;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лица, с которыми служащий/работник либо его родственники ведут судебные разбирательства;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лица, предоставившие служащему/работнику в пользование имущество на возмездной или безвозмездной основе;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лица, которые подарили служащему/работн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ику или его родственникам недвижимость, транспортные средства или ценные бумаги            (в натуральном или денежном выражении), а также лица, которые получили от служащего/работника такие подарки.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РАСПРОСТРАНЕННЫЕ СИТУАЦИИ КОНФЛИКТА ИНТЕРЕСОВ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singl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singl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singl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заключение контрактов на поставку товаров, оказание работ (услуг)           с юридическими лицами, учредителями которых являются родственники служащего/работника;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- осуществление контрольно-надзорных функций в отношении организаций, в которых трудоустроены либо проходят обучения лица, состоящие в близких отношениях со служащим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red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- нахождение родственников или иных близких лиц в служебной зависимости от служащего/работника, назначение их на должности, выплата им вознаграждений и принятие иных необоснованных к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адровых решений;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red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red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 получение служащим/работником, его родственником                                                        от подконтрольного/поднадзорного лица имущества в дар или пользование;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наличие в собственности у родственников служащего/работника ценных бумаг организации, на деятельность которой служащий/работник может повлиять в ходе исполнения служебных (должностных) обязанностей;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 ведение предпринимательской деятельности родственником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служащего/работника в подконтрольной ему сфере;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 имущественные обязательства и судебные разбирательства;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 выполнение служащим/работником функций представителя нанимателя в отношении его родственника, также находящегося                               в неп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осредственном подчинении лица, замещающего должность;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 участие служащего/работника в заседании комиссии при рассмотрении вопроса получения материальных благ его родственником, предоставление служащим/работником государственных (муниципальных) услуг, грант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ов, субсидий из средств соответствующих бюджетов, земельных участков для строительства объектов недвижимости и распределение иных ограниченных ресурсов аффилированным лицам;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-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осуществление иной оплачиваемой работы лицом, замещающим должность, в организаци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и, осуществляющей деятельность в подконтрольной ему сфере и т.п.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 всех случаях конфликт интересов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обусловлен определенными действиями (бездействием) служащих в отношении аффилированных к ним лиц как физических, так и юридических. В основном это связано                                с  возможностью оказания преференций себе либо близким родственникам.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ВЫЯВЛЕНИЕ СИТУАЦИЙ КОНФЛИКТА ИНТЕРЕСОВ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Своевременное выявление конфликта интересов является одним из важных способов предотвращения коррупционных правонарушений.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Основные способы выявления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ситуаций конфликта интересов путем анализа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уведомления о возникновении личной заинтересованности при исполнении должностных обязанностей, которая может привести к конфликту интересов или уже привела к нему;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информационных материалов, представленных служащ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им/работником о себе в соответствии с требованиями законодательства Российской Федерации;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коррупционно-опасных функций служащих/работников, в том числе входящих в состав различных комиссий;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личностных и профессиональных связей служащего/работника, в том чи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сле граждан, претендующих на замещение должности;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уведомлений о выполнении иной оплачиваемой работы с учетом сведений о служащем;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909"/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информации о соблюдения запретов, ограничений и требований, устано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вленных в целях противодействия коррупции посредством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программных систем, интернет-ресурсов (примерный перечень прилагается к настоящей памятке);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909"/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результатов служебных проверок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pStyle w:val="909"/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сведений, представляемых служащим в справках о доходах, расходах,              об имуществе и обязател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ьствах имущественного характера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информации от органов государственной власти, правоохранительных органов, общественных организаций и других 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сточников;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сообщений (заявлений, жалоб) о возможных коррупционных правонарушениях, заявлений физических или юридических лиц, которым стали известны факты конфликта интересов, либо полагающих, что они стали жертвами неправомерных действий со стороны служаще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го/работника;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принятых комиссиями решений, созданных в органе публичной власти или организации для осуществления их деятельности;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баз данных ЕГРЮЛ и ЕГРИП на предмет участия родственников служащего/работника в качестве руководителя, учредителя или участни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ка в организациях, в отношении которых служащий выполняет функции государственного, муниципального (административного) управления;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numPr>
          <w:ilvl w:val="0"/>
          <w:numId w:val="7"/>
        </w:numPr>
        <w:ind w:left="0" w:firstLine="284"/>
        <w:jc w:val="both"/>
        <w:spacing w:after="0" w:line="240" w:lineRule="auto"/>
        <w:widowControl w:val="off"/>
        <w:tabs>
          <w:tab w:val="num" w:pos="0" w:leader="none"/>
          <w:tab w:val="clear" w:pos="720" w:leader="none"/>
        </w:tabs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мониторинга публикаций в средствах массовой информации и других общедоступных информационных ресурсах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завершении анализа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информации, сотрудникам подразделений кадровых служб, ответственным за работу по профилактике коррупционных и иных правонарушений в органах публичной власти, рекомендуется представить служебную записку на имя представителя нанимателя. В ней отразить резуль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таты проведенного анализа, а также указать выявленные нарушения законодательства в сфере противодействия коррупции, включая требований о предотвращении или урегулировании конфликта интересов.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ПОСЛЕДСТВИЯ НЕ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УРЕГУЛИРОВАНИЯ КОНФЛИКТА ИНТЕРЕСОВ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Неуведомление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служащим/работником представителя нанимателя о </w:t>
      </w:r>
      <w:r>
        <w:rPr>
          <w:rFonts w:ascii="PT Astra Serif" w:hAnsi="PT Astra Serif" w:eastAsia="Calibri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а также непринятие им мер по предотвращению или урегулированию конфл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икта интересов является основанием для принятия решения о проведении антикоррупционной проверки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 применении мер юридической ответственности.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Непринятие </w:t>
      </w:r>
      <w:r>
        <w:rPr>
          <w:rFonts w:ascii="PT Astra Serif" w:hAnsi="PT Astra Serif" w:cs="PT Astra Serif"/>
          <w:sz w:val="28"/>
          <w:szCs w:val="28"/>
        </w:rPr>
        <w:t xml:space="preserve">лицом мер по предотвращению и (или) урегулированию конфликта интересов, стороной которого оно является</w:t>
      </w:r>
      <w:r>
        <w:rPr>
          <w:rFonts w:ascii="PT Astra Serif" w:hAnsi="PT Astra Serif" w:cs="PT Astra Serif"/>
          <w:sz w:val="28"/>
          <w:szCs w:val="28"/>
        </w:rPr>
        <w:t xml:space="preserve"> – основание для </w:t>
      </w:r>
      <w:r>
        <w:rPr>
          <w:rFonts w:ascii="PT Astra Serif" w:hAnsi="PT Astra Serif" w:cs="PT Astra Serif"/>
          <w:sz w:val="28"/>
          <w:szCs w:val="28"/>
        </w:rPr>
        <w:t xml:space="preserve">увольнени</w:t>
      </w:r>
      <w:r>
        <w:rPr>
          <w:rFonts w:ascii="PT Astra Serif" w:hAnsi="PT Astra Serif" w:cs="PT Astra Serif"/>
          <w:sz w:val="28"/>
          <w:szCs w:val="28"/>
        </w:rPr>
        <w:t xml:space="preserve">я</w:t>
      </w:r>
      <w:r>
        <w:rPr>
          <w:rFonts w:ascii="PT Astra Serif" w:hAnsi="PT Astra Serif" w:cs="PT Astra Serif"/>
          <w:sz w:val="28"/>
          <w:szCs w:val="28"/>
        </w:rPr>
        <w:t xml:space="preserve"> (освобождени</w:t>
      </w:r>
      <w:r>
        <w:rPr>
          <w:rFonts w:ascii="PT Astra Serif" w:hAnsi="PT Astra Serif" w:cs="PT Astra Serif"/>
          <w:sz w:val="28"/>
          <w:szCs w:val="28"/>
        </w:rPr>
        <w:t xml:space="preserve">я</w:t>
      </w:r>
      <w:r>
        <w:rPr>
          <w:rFonts w:ascii="PT Astra Serif" w:hAnsi="PT Astra Serif" w:cs="PT Astra Serif"/>
          <w:sz w:val="28"/>
          <w:szCs w:val="28"/>
        </w:rPr>
        <w:t xml:space="preserve"> от должности) в связи с утратой доверия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/>
      <w:bookmarkStart w:id="0" w:name="_GoBack"/>
      <w:r/>
      <w:bookmarkEnd w:id="0"/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ПРИЛОЖЕНИЕ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exact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ПЕРЕЧЕНЬ ИНТЕРНЕТ-РЕСУРСОВ,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exact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которые могут быть использованы для анализа информации,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exact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связанной с выявлением ситуаций конфликта интересов: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yellow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yellow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https://egrul.nalog.ru - официальный сайт для получения сведений               из Единого государственного реестра юридических лиц и Единого госу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дарственного реестра индивидуальных предпринимателей;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/>
      <w:hyperlink r:id="rId10" w:tooltip="http://zakupki.gov.ru/" w:history="1">
        <w:r>
          <w:rPr>
            <w:rFonts w:ascii="PT Astra Serif" w:hAnsi="PT Astra Serif"/>
            <w:color w:val="000000" w:themeColor="text1"/>
            <w:sz w:val="28"/>
            <w:szCs w:val="28"/>
          </w:rPr>
          <w:t xml:space="preserve">http://zakupki.gov.ru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- официальный портал для получения данных                          о заключенных договорах, предметом которых являются поставка товаров, выполнение работ, оказание услуг (включая приобретение объектов недвижимости или аренду имущества) от имени государств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енных (муниципальных) органов;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/>
      <w:hyperlink r:id="rId11" w:tooltip="https://service.nalog.ru/regmon/" w:history="1">
        <w:r>
          <w:rPr>
            <w:rStyle w:val="89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https://service.nalog.ru/regmon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- официальный ресурс для получения информации о факте представления документов в налоговый орган при госу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дарственной регистрации юридического лица или индивидуального предпринимателя;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https://service.nalog.ru/uwsfind.do - официальный сайт для доступа                        к сведениям о юридических лицах и индивидуальных предпринимателях,                    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  в отношении которых представлены документы для государственной регистрации;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https://service.nalog.ru/disqualified.do - официальный портал для поиска информации в «Реестре дисквалифицированных лиц»;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https://service.nalog.ru/disfind.do - официальный порт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ал Федеральной налоговой службы Российской Федерации, предоставляющий доступ                           к информации о юридических лицах, в состав исполнительных органов которых входят дисквалифицированные лица;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https://service.nalog.ru/mru.do - информацион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ный ресурс, содержащий сведения о физических лицах, занимающих руководящие должности или являющихся учредителями (участниками) нескольких юридических лиц.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https://service.nalog.ru/inn.do - платформа для получения данных                          о физическо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м лице;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/>
      <w:hyperlink r:id="rId12" w:tooltip="https://www.nalog.ru/opendata/" w:history="1">
        <w:r>
          <w:rPr>
            <w:rStyle w:val="89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https://www.nalog.ru/opendata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- официальный веб-сайт Федеральной налоговой службы Российской Федерации, на котором размещаются различные сведения в рамках проекта «О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ткрытые данные»;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/>
      <w:hyperlink r:id="rId13" w:tooltip="https://www.e-disclosure.ru/" w:history="1">
        <w:r>
          <w:rPr>
            <w:rStyle w:val="89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https://www.e-disclosure.ru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- официальный сайт Центра раскрытия корпоративной информ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ации, функционирующий под эгидой агентства «Интерфакс», предоставляет доступ к информации, обязательной к раскрытию в соответствии с законодательством Российской Федерации. Данная информация, предназначенная для эмитентов ценных бумаг, находится в открытом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доступе и не требует регистрации для ознакомления и загрузки;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иные применимые источники информации.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yellow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yellow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02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1319682"/>
      <w:docPartObj>
        <w:docPartGallery w:val="Page Numbers (Top of Page)"/>
        <w:docPartUnique w:val="true"/>
      </w:docPartObj>
      <w:rPr/>
    </w:sdtPr>
    <w:sdtContent>
      <w:p>
        <w:pPr>
          <w:pStyle w:val="75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</w:style>
  <w:style w:type="paragraph" w:styleId="693">
    <w:name w:val="Heading 1"/>
    <w:basedOn w:val="692"/>
    <w:next w:val="692"/>
    <w:link w:val="74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74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4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4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4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9">
    <w:name w:val="Heading 7"/>
    <w:basedOn w:val="692"/>
    <w:next w:val="692"/>
    <w:link w:val="74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0">
    <w:name w:val="Heading 8"/>
    <w:basedOn w:val="692"/>
    <w:next w:val="692"/>
    <w:link w:val="74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1">
    <w:name w:val="Heading 9"/>
    <w:basedOn w:val="692"/>
    <w:next w:val="692"/>
    <w:link w:val="74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table" w:styleId="705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5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17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2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3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4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02"/>
    <w:uiPriority w:val="10"/>
    <w:rPr>
      <w:sz w:val="48"/>
      <w:szCs w:val="48"/>
    </w:rPr>
  </w:style>
  <w:style w:type="character" w:styleId="734" w:customStyle="1">
    <w:name w:val="Subtitle Char"/>
    <w:basedOn w:val="702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Header Char"/>
    <w:basedOn w:val="702"/>
    <w:uiPriority w:val="99"/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692"/>
    <w:next w:val="692"/>
    <w:link w:val="751"/>
    <w:uiPriority w:val="10"/>
    <w:qFormat/>
    <w:pPr>
      <w:contextualSpacing/>
      <w:spacing w:before="3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692"/>
    <w:next w:val="692"/>
    <w:link w:val="753"/>
    <w:uiPriority w:val="11"/>
    <w:qFormat/>
    <w:pPr>
      <w:spacing w:before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692"/>
    <w:next w:val="692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692"/>
    <w:next w:val="692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692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 w:customStyle="1">
    <w:name w:val="Верхний колонтитул Знак"/>
    <w:link w:val="758"/>
    <w:uiPriority w:val="99"/>
  </w:style>
  <w:style w:type="paragraph" w:styleId="760">
    <w:name w:val="Footer"/>
    <w:basedOn w:val="69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uiPriority w:val="99"/>
  </w:style>
  <w:style w:type="paragraph" w:styleId="762">
    <w:name w:val="Caption"/>
    <w:basedOn w:val="692"/>
    <w:next w:val="69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3" w:customStyle="1">
    <w:name w:val="Нижний колонтитул Знак"/>
    <w:link w:val="760"/>
    <w:uiPriority w:val="99"/>
  </w:style>
  <w:style w:type="table" w:styleId="764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11"/>
    <w:basedOn w:val="70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2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3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Таблица простая 4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 простая 5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1 светлая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-сетка 2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3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4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4" w:customStyle="1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6" w:customStyle="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8" w:customStyle="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9" w:customStyle="1">
    <w:name w:val="Таблица-сетка 5 темная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8" w:customStyle="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9" w:customStyle="1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0" w:customStyle="1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1" w:customStyle="1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3" w:customStyle="1">
    <w:name w:val="Таблица-сетка 7 цветная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1 светлая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Список-таблица 2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Список-таблица 3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4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5 темная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Список-таблица 6 цветная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7" w:customStyle="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8" w:customStyle="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9" w:customStyle="1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0" w:customStyle="1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1" w:customStyle="1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2" w:customStyle="1">
    <w:name w:val="Список-таблица 7 цветная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 &amp; 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Bordered &amp; 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Bordered &amp; 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Bordered &amp; 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Bordered &amp; 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Bordered &amp; 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5" w:customStyle="1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6" w:customStyle="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7" w:customStyle="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8" w:customStyle="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9" w:customStyle="1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563c1" w:themeColor="hyperlink"/>
      <w:u w:val="single"/>
    </w:rPr>
  </w:style>
  <w:style w:type="paragraph" w:styleId="891">
    <w:name w:val="footnote text"/>
    <w:basedOn w:val="692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692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692"/>
    <w:next w:val="692"/>
    <w:uiPriority w:val="39"/>
    <w:unhideWhenUsed/>
    <w:pPr>
      <w:spacing w:after="57"/>
    </w:pPr>
  </w:style>
  <w:style w:type="paragraph" w:styleId="898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99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900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901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902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903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904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905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692"/>
    <w:next w:val="692"/>
    <w:uiPriority w:val="99"/>
    <w:unhideWhenUsed/>
    <w:pPr>
      <w:spacing w:after="0"/>
    </w:pPr>
  </w:style>
  <w:style w:type="paragraph" w:styleId="908">
    <w:name w:val="No Spacing"/>
    <w:basedOn w:val="692"/>
    <w:uiPriority w:val="1"/>
    <w:qFormat/>
    <w:pPr>
      <w:spacing w:after="0" w:line="240" w:lineRule="auto"/>
    </w:pPr>
  </w:style>
  <w:style w:type="paragraph" w:styleId="909">
    <w:name w:val="List Paragraph"/>
    <w:basedOn w:val="69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zakupki.gov.ru/" TargetMode="External"/><Relationship Id="rId11" Type="http://schemas.openxmlformats.org/officeDocument/2006/relationships/hyperlink" Target="https://service.nalog.ru/regmon/" TargetMode="External"/><Relationship Id="rId12" Type="http://schemas.openxmlformats.org/officeDocument/2006/relationships/hyperlink" Target="https://www.nalog.ru/opendata/" TargetMode="External"/><Relationship Id="rId13" Type="http://schemas.openxmlformats.org/officeDocument/2006/relationships/hyperlink" Target="https://www.e-disclosur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251</cp:revision>
  <dcterms:created xsi:type="dcterms:W3CDTF">2025-04-24T06:57:00Z</dcterms:created>
  <dcterms:modified xsi:type="dcterms:W3CDTF">2025-05-13T08:18:15Z</dcterms:modified>
</cp:coreProperties>
</file>